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color w:val="0C0C0C" w:themeColor="text1" w:themeTint="F2"/>
          <w:sz w:val="48"/>
          <w:szCs w:val="48"/>
        </w:rPr>
      </w:pPr>
      <w:bookmarkStart w:id="0" w:name="_GoBack"/>
      <w:bookmarkEnd w:id="0"/>
      <w:r>
        <w:rPr>
          <w:rFonts w:hint="eastAsia" w:eastAsia="方正小标宋_GBK"/>
          <w:color w:val="0C0C0C" w:themeColor="text1" w:themeTint="F2"/>
          <w:sz w:val="48"/>
          <w:szCs w:val="48"/>
          <w:lang w:val="en-US" w:eastAsia="zh-CN"/>
        </w:rPr>
        <w:t>2023</w:t>
      </w:r>
      <w:r>
        <w:rPr>
          <w:rFonts w:eastAsia="方正小标宋_GBK"/>
          <w:color w:val="0C0C0C" w:themeColor="text1" w:themeTint="F2"/>
          <w:sz w:val="48"/>
          <w:szCs w:val="48"/>
        </w:rPr>
        <w:t>年度</w:t>
      </w:r>
      <w:r>
        <w:rPr>
          <w:rFonts w:hint="eastAsia" w:eastAsia="方正小标宋_GBK"/>
          <w:color w:val="0C0C0C" w:themeColor="text1" w:themeTint="F2"/>
          <w:sz w:val="48"/>
          <w:szCs w:val="48"/>
          <w:lang w:eastAsia="zh-CN"/>
        </w:rPr>
        <w:t>上江圩镇中心幼儿园</w:t>
      </w:r>
      <w:r>
        <w:rPr>
          <w:rFonts w:eastAsia="方正小标宋_GBK"/>
          <w:color w:val="0C0C0C" w:themeColor="text1" w:themeTint="F2"/>
          <w:sz w:val="48"/>
          <w:szCs w:val="48"/>
        </w:rPr>
        <w:t>整体支出</w:t>
      </w:r>
    </w:p>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color w:val="0C0C0C" w:themeColor="text1" w:themeTint="F2"/>
          <w:sz w:val="48"/>
          <w:szCs w:val="48"/>
        </w:rPr>
      </w:pPr>
      <w:r>
        <w:rPr>
          <w:rFonts w:eastAsia="方正小标宋_GBK"/>
          <w:color w:val="0C0C0C" w:themeColor="text1" w:themeTint="F2"/>
          <w:sz w:val="48"/>
          <w:szCs w:val="48"/>
        </w:rPr>
        <w:t>绩效自评报告</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color w:val="0C0C0C" w:themeColor="text1" w:themeTint="F2"/>
          <w:sz w:val="44"/>
          <w:szCs w:val="44"/>
        </w:rPr>
      </w:pPr>
    </w:p>
    <w:p>
      <w:pPr>
        <w:keepNext w:val="0"/>
        <w:keepLines w:val="0"/>
        <w:pageBreakBefore w:val="0"/>
        <w:kinsoku/>
        <w:wordWrap/>
        <w:overflowPunct/>
        <w:topLinePunct w:val="0"/>
        <w:autoSpaceDE/>
        <w:autoSpaceDN/>
        <w:bidi w:val="0"/>
        <w:adjustRightInd/>
        <w:snapToGrid/>
        <w:spacing w:line="240" w:lineRule="atLeast"/>
        <w:ind w:left="0" w:firstLine="720" w:firstLineChars="200"/>
        <w:jc w:val="center"/>
        <w:rPr>
          <w:rFonts w:eastAsia="黑体"/>
          <w:color w:val="0C0C0C" w:themeColor="text1" w:themeTint="F2"/>
          <w:sz w:val="36"/>
          <w:szCs w:val="36"/>
        </w:rPr>
      </w:pPr>
      <w:r>
        <w:rPr>
          <w:rFonts w:eastAsia="黑体"/>
          <w:color w:val="0C0C0C" w:themeColor="text1" w:themeTint="F2"/>
          <w:sz w:val="36"/>
          <w:szCs w:val="36"/>
        </w:rPr>
        <w:t>单位名称（盖章）：</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6"/>
          <w:szCs w:val="36"/>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color w:val="0C0C0C" w:themeColor="text1" w:themeTint="F2"/>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仿宋_GB2312"/>
          <w:color w:val="0C0C0C" w:themeColor="text1" w:themeTint="F2"/>
          <w:sz w:val="32"/>
          <w:szCs w:val="32"/>
        </w:rPr>
      </w:pPr>
      <w:r>
        <w:rPr>
          <w:rFonts w:eastAsia="仿宋_GB2312"/>
          <w:color w:val="0C0C0C" w:themeColor="text1" w:themeTint="F2"/>
          <w:sz w:val="32"/>
          <w:szCs w:val="32"/>
        </w:rPr>
        <w:t>（此页为封面）</w:t>
      </w:r>
    </w:p>
    <w:p>
      <w:pPr>
        <w:keepNext w:val="0"/>
        <w:keepLines w:val="0"/>
        <w:pageBreakBefore w:val="0"/>
        <w:kinsoku/>
        <w:wordWrap/>
        <w:overflowPunct/>
        <w:topLinePunct w:val="0"/>
        <w:autoSpaceDE/>
        <w:autoSpaceDN/>
        <w:bidi w:val="0"/>
        <w:adjustRightInd/>
        <w:snapToGrid/>
        <w:spacing w:line="240" w:lineRule="atLeast"/>
        <w:ind w:left="0" w:firstLine="640" w:firstLineChars="200"/>
        <w:rPr>
          <w:rFonts w:eastAsia="黑体"/>
          <w:color w:val="0C0C0C" w:themeColor="text1" w:themeTint="F2"/>
          <w:sz w:val="30"/>
          <w:szCs w:val="30"/>
        </w:rPr>
      </w:pPr>
      <w:r>
        <w:rPr>
          <w:rFonts w:eastAsia="仿宋_GB2312"/>
          <w:color w:val="0C0C0C" w:themeColor="text1" w:themeTint="F2"/>
          <w:sz w:val="32"/>
          <w:szCs w:val="32"/>
        </w:rPr>
        <w:br w:type="page"/>
      </w:r>
      <w:r>
        <w:rPr>
          <w:rFonts w:eastAsia="黑体"/>
          <w:color w:val="0C0C0C" w:themeColor="text1" w:themeTint="F2"/>
          <w:sz w:val="30"/>
          <w:szCs w:val="30"/>
        </w:rPr>
        <w:t>一、基本情况</w:t>
      </w:r>
    </w:p>
    <w:p>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color w:val="0C0C0C" w:themeColor="text1" w:themeTint="F2"/>
          <w:sz w:val="30"/>
          <w:szCs w:val="30"/>
        </w:rPr>
      </w:pPr>
      <w:r>
        <w:rPr>
          <w:rFonts w:eastAsia="楷体_GB2312"/>
          <w:b/>
          <w:color w:val="0C0C0C" w:themeColor="text1" w:themeTint="F2"/>
          <w:sz w:val="30"/>
          <w:szCs w:val="30"/>
        </w:rPr>
        <w:t>（一）单位基本情况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1、单位机构组成、人员概况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江永县上江圩镇中心幼儿园是为3至6岁儿童提供保育教育的服务的机构。为了保证幼儿园的正常运行和管理，园内设有园长室，园长室是幼儿园的决策和管理核心，负责制定幼儿园的发展战略、管理政策以及教育教学计划。园长办公室由园长和相关助理组成;行政部，行政部是幼儿园的执行机构，负责各项行政事务的管理和协调。行政部门包括人事行政、财务、后勤等职能部门，每一个部门都有相应的主管和职员。现有全体职工22人，其中在职老师10人，临聘老师8人，厨师2人，保安2人。</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rPr>
        <w:t>2、机构职能</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仿宋" w:hAnsi="仿宋" w:eastAsia="仿宋" w:cs="仿宋"/>
          <w:b w:val="0"/>
          <w:bCs/>
          <w:color w:val="0C0C0C" w:themeColor="text1" w:themeTint="F2"/>
          <w:sz w:val="30"/>
          <w:szCs w:val="30"/>
          <w:lang w:eastAsia="zh-CN"/>
        </w:rPr>
      </w:pPr>
      <w:r>
        <w:rPr>
          <w:rFonts w:hint="eastAsia" w:ascii="仿宋" w:hAnsi="仿宋" w:eastAsia="仿宋" w:cs="仿宋"/>
          <w:b w:val="0"/>
          <w:bCs/>
          <w:color w:val="0C0C0C" w:themeColor="text1" w:themeTint="F2"/>
          <w:sz w:val="30"/>
          <w:szCs w:val="30"/>
        </w:rPr>
        <w:t>幼儿园秉承“用太阳的光辉照亮孩子的心房”的办园理念，以“爱的成长，心的教育”为办园思想，以“一切为了孩子”为目标，以“满园蓓蕾，个个芬芳”为园训，让幼儿在愉快的游戏活动中“学会生活，学会学习，学会做人”</w:t>
      </w:r>
      <w:r>
        <w:rPr>
          <w:rFonts w:hint="eastAsia" w:ascii="仿宋" w:hAnsi="仿宋" w:eastAsia="仿宋" w:cs="仿宋"/>
          <w:b w:val="0"/>
          <w:bCs/>
          <w:color w:val="0C0C0C" w:themeColor="text1" w:themeTint="F2"/>
          <w:sz w:val="30"/>
          <w:szCs w:val="30"/>
          <w:lang w:eastAsia="zh-CN"/>
        </w:rPr>
        <w:t>。</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二、</w:t>
      </w:r>
      <w:r>
        <w:rPr>
          <w:rFonts w:hint="eastAsia" w:ascii="Times New Roman" w:hAnsi="Times New Roman" w:eastAsia="黑体"/>
          <w:color w:val="0C0C0C" w:themeColor="text1" w:themeTint="F2"/>
          <w:sz w:val="30"/>
          <w:szCs w:val="30"/>
          <w:lang w:val="en-US" w:eastAsia="zh-CN"/>
        </w:rPr>
        <w:t>2023年度</w:t>
      </w:r>
      <w:r>
        <w:rPr>
          <w:rFonts w:ascii="Times New Roman" w:hAnsi="Times New Roman" w:eastAsia="黑体"/>
          <w:color w:val="0C0C0C" w:themeColor="text1" w:themeTint="F2"/>
          <w:sz w:val="30"/>
          <w:szCs w:val="30"/>
        </w:rPr>
        <w:t>一般公共预算支出情况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color w:val="0C0C0C" w:themeColor="text1" w:themeTint="F2"/>
          <w:sz w:val="30"/>
          <w:szCs w:val="30"/>
        </w:rPr>
      </w:pPr>
      <w:r>
        <w:rPr>
          <w:rFonts w:ascii="Times New Roman" w:hAnsi="Times New Roman" w:eastAsia="楷体_GB2312"/>
          <w:b/>
          <w:color w:val="0C0C0C" w:themeColor="text1" w:themeTint="F2"/>
          <w:sz w:val="30"/>
          <w:szCs w:val="30"/>
        </w:rPr>
        <w:t>（一）基本支出情况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lang w:val="en-US" w:eastAsia="zh-CN"/>
        </w:rPr>
        <w:t>1、</w:t>
      </w:r>
      <w:r>
        <w:rPr>
          <w:rFonts w:hint="eastAsia" w:ascii="仿宋" w:hAnsi="仿宋" w:eastAsia="仿宋" w:cs="仿宋"/>
          <w:b w:val="0"/>
          <w:bCs/>
          <w:color w:val="0C0C0C" w:themeColor="text1" w:themeTint="F2"/>
          <w:sz w:val="30"/>
          <w:szCs w:val="30"/>
        </w:rPr>
        <w:t>预算情况</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lang w:val="en-US" w:eastAsia="zh-CN"/>
        </w:rPr>
        <w:t>1）</w:t>
      </w:r>
      <w:r>
        <w:rPr>
          <w:rFonts w:hint="eastAsia" w:ascii="仿宋" w:hAnsi="仿宋" w:eastAsia="仿宋" w:cs="仿宋"/>
          <w:b w:val="0"/>
          <w:bCs/>
          <w:color w:val="0C0C0C" w:themeColor="text1" w:themeTint="F2"/>
          <w:sz w:val="30"/>
          <w:szCs w:val="30"/>
        </w:rPr>
        <w:t>年初预算情况：年初预算收入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万元，其中预算内拨款</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万元，其他拨款0万元。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2</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年中追加和调减预算情况：202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年年中追加金额</w:t>
      </w:r>
      <w:r>
        <w:rPr>
          <w:rFonts w:hint="eastAsia" w:ascii="仿宋" w:hAnsi="仿宋" w:eastAsia="仿宋" w:cs="仿宋"/>
          <w:b w:val="0"/>
          <w:bCs/>
          <w:color w:val="0C0C0C" w:themeColor="text1" w:themeTint="F2"/>
          <w:sz w:val="30"/>
          <w:szCs w:val="30"/>
          <w:lang w:val="en-US" w:eastAsia="zh-CN"/>
        </w:rPr>
        <w:t>0</w:t>
      </w:r>
      <w:r>
        <w:rPr>
          <w:rFonts w:hint="eastAsia" w:ascii="仿宋" w:hAnsi="仿宋" w:eastAsia="仿宋" w:cs="仿宋"/>
          <w:b w:val="0"/>
          <w:bCs/>
          <w:color w:val="0C0C0C" w:themeColor="text1" w:themeTint="F2"/>
          <w:sz w:val="30"/>
          <w:szCs w:val="30"/>
        </w:rPr>
        <w:t>万元，财政收回金额0万元。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3</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全年总预算情况：①202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年实际收入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万元（其中财政收入</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万元，其他收入</w:t>
      </w:r>
      <w:r>
        <w:rPr>
          <w:rFonts w:hint="eastAsia" w:ascii="仿宋" w:hAnsi="仿宋" w:eastAsia="仿宋" w:cs="仿宋"/>
          <w:b w:val="0"/>
          <w:bCs/>
          <w:color w:val="0C0C0C" w:themeColor="text1" w:themeTint="F2"/>
          <w:sz w:val="30"/>
          <w:szCs w:val="30"/>
          <w:lang w:val="en-US" w:eastAsia="zh-CN"/>
        </w:rPr>
        <w:t>0</w:t>
      </w:r>
      <w:r>
        <w:rPr>
          <w:rFonts w:hint="eastAsia" w:ascii="仿宋" w:hAnsi="仿宋" w:eastAsia="仿宋" w:cs="仿宋"/>
          <w:b w:val="0"/>
          <w:bCs/>
          <w:color w:val="0C0C0C" w:themeColor="text1" w:themeTint="F2"/>
          <w:sz w:val="30"/>
          <w:szCs w:val="30"/>
        </w:rPr>
        <w:t>万元）。202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年度部门实际财政支出</w:t>
      </w:r>
      <w:r>
        <w:rPr>
          <w:rFonts w:hint="eastAsia" w:ascii="仿宋" w:hAnsi="仿宋" w:eastAsia="仿宋" w:cs="仿宋"/>
          <w:b w:val="0"/>
          <w:bCs/>
          <w:color w:val="0C0C0C" w:themeColor="text1" w:themeTint="F2"/>
          <w:sz w:val="30"/>
          <w:szCs w:val="30"/>
          <w:lang w:val="en-US" w:eastAsia="zh-CN"/>
        </w:rPr>
        <w:t>122.34</w:t>
      </w:r>
      <w:r>
        <w:rPr>
          <w:rFonts w:hint="eastAsia" w:ascii="仿宋" w:hAnsi="仿宋" w:eastAsia="仿宋" w:cs="仿宋"/>
          <w:b w:val="0"/>
          <w:bCs/>
          <w:color w:val="0C0C0C" w:themeColor="text1" w:themeTint="F2"/>
          <w:sz w:val="30"/>
          <w:szCs w:val="30"/>
        </w:rPr>
        <w:t>万元。②预算调整率为0%。③202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年结余资金0万元，低于上年结转资金0万元。④三公经费控制率为0%。“三公”经费实际支出</w:t>
      </w:r>
      <w:r>
        <w:rPr>
          <w:rFonts w:hint="eastAsia" w:ascii="仿宋" w:hAnsi="仿宋" w:eastAsia="仿宋" w:cs="仿宋"/>
          <w:b w:val="0"/>
          <w:bCs/>
          <w:color w:val="0C0C0C" w:themeColor="text1" w:themeTint="F2"/>
          <w:sz w:val="30"/>
          <w:szCs w:val="30"/>
          <w:lang w:val="en-US" w:eastAsia="zh-CN"/>
        </w:rPr>
        <w:t>1.3</w:t>
      </w:r>
      <w:r>
        <w:rPr>
          <w:rFonts w:hint="eastAsia" w:ascii="仿宋" w:hAnsi="仿宋" w:eastAsia="仿宋" w:cs="仿宋"/>
          <w:b w:val="0"/>
          <w:bCs/>
          <w:color w:val="0C0C0C" w:themeColor="text1" w:themeTint="F2"/>
          <w:sz w:val="30"/>
          <w:szCs w:val="30"/>
        </w:rPr>
        <w:t>万元。</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color w:val="0C0C0C" w:themeColor="text1" w:themeTint="F2"/>
          <w:sz w:val="30"/>
          <w:szCs w:val="30"/>
        </w:rPr>
      </w:pPr>
      <w:r>
        <w:rPr>
          <w:rFonts w:hint="eastAsia" w:ascii="仿宋" w:hAnsi="仿宋" w:eastAsia="仿宋" w:cs="仿宋"/>
          <w:b w:val="0"/>
          <w:bCs/>
          <w:color w:val="0C0C0C" w:themeColor="text1" w:themeTint="F2"/>
          <w:sz w:val="30"/>
          <w:szCs w:val="30"/>
          <w:lang w:val="en-US" w:eastAsia="zh-CN"/>
        </w:rPr>
        <w:t>2、</w:t>
      </w:r>
      <w:r>
        <w:rPr>
          <w:rFonts w:hint="eastAsia" w:ascii="仿宋" w:hAnsi="仿宋" w:eastAsia="仿宋" w:cs="仿宋"/>
          <w:b w:val="0"/>
          <w:bCs/>
          <w:color w:val="0C0C0C" w:themeColor="text1" w:themeTint="F2"/>
          <w:sz w:val="30"/>
          <w:szCs w:val="30"/>
        </w:rPr>
        <w:t>预算执行情况</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1</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基本支出执行情况：202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年度基本支出</w:t>
      </w:r>
      <w:r>
        <w:rPr>
          <w:rFonts w:hint="eastAsia" w:ascii="仿宋" w:hAnsi="仿宋" w:eastAsia="仿宋" w:cs="仿宋"/>
          <w:b w:val="0"/>
          <w:bCs/>
          <w:color w:val="0C0C0C" w:themeColor="text1" w:themeTint="F2"/>
          <w:sz w:val="30"/>
          <w:szCs w:val="30"/>
          <w:lang w:val="en-US" w:eastAsia="zh-CN"/>
        </w:rPr>
        <w:t>95.22</w:t>
      </w:r>
      <w:r>
        <w:rPr>
          <w:rFonts w:hint="eastAsia" w:ascii="仿宋" w:hAnsi="仿宋" w:eastAsia="仿宋" w:cs="仿宋"/>
          <w:b w:val="0"/>
          <w:bCs/>
          <w:color w:val="0C0C0C" w:themeColor="text1" w:themeTint="F2"/>
          <w:sz w:val="30"/>
          <w:szCs w:val="30"/>
        </w:rPr>
        <w:t>万元。</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2</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业务性专项执行情况：202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年度无业务性专项。</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3</w:t>
      </w:r>
      <w:r>
        <w:rPr>
          <w:rFonts w:hint="eastAsia" w:ascii="仿宋" w:hAnsi="仿宋" w:eastAsia="仿宋" w:cs="仿宋"/>
          <w:b w:val="0"/>
          <w:bCs/>
          <w:color w:val="0C0C0C" w:themeColor="text1" w:themeTint="F2"/>
          <w:sz w:val="30"/>
          <w:szCs w:val="30"/>
          <w:lang w:eastAsia="zh-CN"/>
        </w:rPr>
        <w:t>）</w:t>
      </w:r>
      <w:r>
        <w:rPr>
          <w:rFonts w:hint="eastAsia" w:ascii="仿宋" w:hAnsi="仿宋" w:eastAsia="仿宋" w:cs="仿宋"/>
          <w:b w:val="0"/>
          <w:bCs/>
          <w:color w:val="0C0C0C" w:themeColor="text1" w:themeTint="F2"/>
          <w:sz w:val="30"/>
          <w:szCs w:val="30"/>
        </w:rPr>
        <w:t>项目性专项执行情况：202</w:t>
      </w:r>
      <w:r>
        <w:rPr>
          <w:rFonts w:hint="eastAsia" w:ascii="仿宋" w:hAnsi="仿宋" w:eastAsia="仿宋" w:cs="仿宋"/>
          <w:b w:val="0"/>
          <w:bCs/>
          <w:color w:val="0C0C0C" w:themeColor="text1" w:themeTint="F2"/>
          <w:sz w:val="30"/>
          <w:szCs w:val="30"/>
          <w:lang w:val="en-US" w:eastAsia="zh-CN"/>
        </w:rPr>
        <w:t>3</w:t>
      </w:r>
      <w:r>
        <w:rPr>
          <w:rFonts w:hint="eastAsia" w:ascii="仿宋" w:hAnsi="仿宋" w:eastAsia="仿宋" w:cs="仿宋"/>
          <w:b w:val="0"/>
          <w:bCs/>
          <w:color w:val="0C0C0C" w:themeColor="text1" w:themeTint="F2"/>
          <w:sz w:val="30"/>
          <w:szCs w:val="30"/>
        </w:rPr>
        <w:t>年度项目支出</w:t>
      </w:r>
      <w:r>
        <w:rPr>
          <w:rFonts w:hint="eastAsia" w:ascii="仿宋" w:hAnsi="仿宋" w:eastAsia="仿宋" w:cs="仿宋"/>
          <w:b w:val="0"/>
          <w:bCs/>
          <w:color w:val="0C0C0C" w:themeColor="text1" w:themeTint="F2"/>
          <w:sz w:val="30"/>
          <w:szCs w:val="30"/>
          <w:lang w:val="en-US" w:eastAsia="zh-CN"/>
        </w:rPr>
        <w:t>27.12</w:t>
      </w:r>
      <w:r>
        <w:rPr>
          <w:rFonts w:hint="eastAsia" w:ascii="仿宋" w:hAnsi="仿宋" w:eastAsia="仿宋" w:cs="仿宋"/>
          <w:b w:val="0"/>
          <w:bCs/>
          <w:color w:val="0C0C0C" w:themeColor="text1" w:themeTint="F2"/>
          <w:sz w:val="30"/>
          <w:szCs w:val="30"/>
        </w:rPr>
        <w:t>万元。</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color w:val="0C0C0C" w:themeColor="text1" w:themeTint="F2"/>
          <w:sz w:val="30"/>
          <w:szCs w:val="30"/>
        </w:rPr>
      </w:pPr>
      <w:r>
        <w:rPr>
          <w:rFonts w:ascii="Times New Roman" w:hAnsi="Times New Roman" w:eastAsia="楷体_GB2312"/>
          <w:b/>
          <w:color w:val="0C0C0C" w:themeColor="text1" w:themeTint="F2"/>
          <w:sz w:val="30"/>
          <w:szCs w:val="30"/>
        </w:rPr>
        <w:t>（二）项目支出情况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eastAsia="仿宋_GB2312"/>
          <w:color w:val="0C0C0C" w:themeColor="text1" w:themeTint="F2"/>
          <w:sz w:val="30"/>
          <w:szCs w:val="30"/>
        </w:rPr>
        <w:t>两方面：一是</w:t>
      </w:r>
      <w:r>
        <w:rPr>
          <w:rFonts w:hint="eastAsia" w:eastAsia="仿宋_GB2312"/>
          <w:color w:val="0C0C0C" w:themeColor="text1" w:themeTint="F2"/>
          <w:sz w:val="30"/>
          <w:szCs w:val="30"/>
          <w:lang w:val="en-US" w:eastAsia="zh-CN"/>
        </w:rPr>
        <w:t>2023</w:t>
      </w:r>
      <w:r>
        <w:rPr>
          <w:rFonts w:eastAsia="仿宋_GB2312"/>
          <w:color w:val="0C0C0C" w:themeColor="text1" w:themeTint="F2"/>
          <w:sz w:val="30"/>
          <w:szCs w:val="30"/>
        </w:rPr>
        <w:t>年度</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级专项资金分配安排和使用管理情况，有2个及以上</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级专项资金的要分别总结基本情况。二是除</w:t>
      </w:r>
      <w:r>
        <w:rPr>
          <w:rFonts w:hint="eastAsia" w:eastAsia="仿宋_GB2312"/>
          <w:color w:val="0C0C0C" w:themeColor="text1" w:themeTint="F2"/>
          <w:sz w:val="30"/>
          <w:szCs w:val="30"/>
          <w:lang w:eastAsia="zh-CN"/>
        </w:rPr>
        <w:t>县</w:t>
      </w:r>
      <w:r>
        <w:rPr>
          <w:rFonts w:eastAsia="仿宋_GB2312"/>
          <w:color w:val="0C0C0C" w:themeColor="text1" w:themeTint="F2"/>
          <w:sz w:val="30"/>
          <w:szCs w:val="30"/>
        </w:rPr>
        <w:t>级专项资金以外的其他项目支出情况。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三、政府性基金预算支出情况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四、国有资本经营预算支出情况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五、社会保险基金预算支出情况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default" w:ascii="仿宋" w:hAnsi="仿宋" w:eastAsia="仿宋" w:cs="仿宋"/>
          <w:b w:val="0"/>
          <w:bCs/>
          <w:color w:val="0C0C0C" w:themeColor="text1" w:themeTint="F2"/>
          <w:sz w:val="30"/>
          <w:szCs w:val="30"/>
          <w:lang w:val="en-US" w:eastAsia="zh-CN"/>
        </w:rPr>
      </w:pPr>
      <w:r>
        <w:rPr>
          <w:rFonts w:hint="eastAsia" w:ascii="仿宋" w:hAnsi="仿宋" w:eastAsia="仿宋" w:cs="仿宋"/>
          <w:b w:val="0"/>
          <w:bCs/>
          <w:color w:val="0C0C0C" w:themeColor="text1" w:themeTint="F2"/>
          <w:sz w:val="30"/>
          <w:szCs w:val="30"/>
          <w:lang w:val="en-US" w:eastAsia="zh-CN"/>
        </w:rPr>
        <w:t>预算执行情况：2023年预算基本支出11.43万元，其中机关事业单位基本养老保险费7.48万元，职工基本医疗保险费3.84万，其他社会保障费0.11万元。</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六、部门整体支出绩效情况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FF0000"/>
          <w:sz w:val="30"/>
          <w:szCs w:val="30"/>
        </w:rPr>
      </w:pPr>
      <w:r>
        <w:rPr>
          <w:rFonts w:eastAsia="仿宋_GB2312"/>
          <w:color w:val="0C0C0C" w:themeColor="text1" w:themeTint="F2"/>
          <w:sz w:val="30"/>
          <w:szCs w:val="30"/>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绩效目标完成率为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从效率性来看，各部门对所承担的工作能够按照计划的时间把握进度，抓好质量，注重了工作的效率</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从有效性来看，各专项工作的分工负责部门均能够按照制度和各自的目标来抓好落实，注重了专项资金的使用效果</w:t>
      </w:r>
      <w:r>
        <w:rPr>
          <w:rFonts w:hint="eastAsia" w:eastAsia="仿宋_GB2312"/>
          <w:color w:val="0C0C0C" w:themeColor="text1" w:themeTint="F2"/>
          <w:sz w:val="30"/>
          <w:szCs w:val="30"/>
          <w:lang w:eastAsia="zh-CN"/>
        </w:rPr>
        <w:t>；</w:t>
      </w:r>
      <w:r>
        <w:rPr>
          <w:rFonts w:hint="eastAsia" w:eastAsia="仿宋_GB2312"/>
          <w:color w:val="0C0C0C" w:themeColor="text1" w:themeTint="F2"/>
          <w:sz w:val="30"/>
          <w:szCs w:val="30"/>
        </w:rPr>
        <w:t>从可持续性来看，后续的政策、相关的配套资金、必要的人员机构要继续保持，管理制度做到与时俱进，相关内容进行了及时补充完善。</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color w:val="0C0C0C" w:themeColor="text1" w:themeTint="F2"/>
          <w:sz w:val="30"/>
          <w:szCs w:val="30"/>
        </w:rPr>
      </w:pPr>
      <w:r>
        <w:rPr>
          <w:rFonts w:ascii="Times New Roman" w:hAnsi="Times New Roman" w:eastAsia="黑体"/>
          <w:color w:val="0C0C0C" w:themeColor="text1" w:themeTint="F2"/>
          <w:sz w:val="30"/>
          <w:szCs w:val="30"/>
        </w:rPr>
        <w:t>七、存在的问题及原因分析</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eastAsia="仿宋_GB2312"/>
          <w:color w:val="0C0C0C" w:themeColor="text1" w:themeTint="F2"/>
          <w:sz w:val="30"/>
          <w:szCs w:val="30"/>
        </w:rPr>
      </w:pPr>
      <w:r>
        <w:rPr>
          <w:rFonts w:eastAsia="仿宋_GB2312"/>
          <w:color w:val="0C0C0C" w:themeColor="text1" w:themeTint="F2"/>
          <w:sz w:val="30"/>
          <w:szCs w:val="30"/>
        </w:rPr>
        <w:t>主要反映各种预算支出执行偏离绩效目标的情况，并分析其原因</w:t>
      </w:r>
      <w:r>
        <w:rPr>
          <w:rFonts w:hint="eastAsia" w:eastAsia="仿宋_GB2312"/>
          <w:color w:val="0C0C0C" w:themeColor="text1" w:themeTint="F2"/>
          <w:sz w:val="30"/>
          <w:szCs w:val="30"/>
        </w:rPr>
        <w:t>。</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年初预算绩效目标不明确，绩效指标细化和量化不精准。</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八、下一</w:t>
      </w:r>
      <w:r>
        <w:rPr>
          <w:rFonts w:eastAsia="黑体"/>
          <w:b w:val="0"/>
          <w:bCs w:val="0"/>
          <w:color w:val="0C0C0C" w:themeColor="text1" w:themeTint="F2"/>
          <w:sz w:val="30"/>
          <w:szCs w:val="30"/>
        </w:rPr>
        <w:t>步改进</w:t>
      </w:r>
      <w:r>
        <w:rPr>
          <w:rFonts w:eastAsia="黑体"/>
          <w:color w:val="0C0C0C" w:themeColor="text1" w:themeTint="F2"/>
          <w:sz w:val="30"/>
          <w:szCs w:val="30"/>
        </w:rPr>
        <w:t>措施</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C0C0C" w:themeColor="text1" w:themeTint="F2"/>
          <w:sz w:val="30"/>
          <w:szCs w:val="30"/>
        </w:rPr>
      </w:pPr>
      <w:r>
        <w:rPr>
          <w:rFonts w:hint="eastAsia" w:eastAsia="仿宋_GB2312"/>
          <w:color w:val="0C0C0C" w:themeColor="text1" w:themeTint="F2"/>
          <w:sz w:val="30"/>
          <w:szCs w:val="30"/>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九、绩效自评结果拟应用和公开情况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color w:val="0C0C0C" w:themeColor="text1" w:themeTint="F2"/>
          <w:sz w:val="30"/>
          <w:szCs w:val="30"/>
        </w:rPr>
      </w:pPr>
      <w:r>
        <w:rPr>
          <w:rFonts w:eastAsia="黑体"/>
          <w:color w:val="0C0C0C" w:themeColor="text1" w:themeTint="F2"/>
          <w:sz w:val="30"/>
          <w:szCs w:val="30"/>
        </w:rPr>
        <w:t>其他需要说明的情况</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kern w:val="0"/>
          <w:sz w:val="36"/>
          <w:szCs w:val="36"/>
        </w:rPr>
      </w:pPr>
      <w:r>
        <w:rPr>
          <w:rFonts w:eastAsia="方正小标宋_GBK"/>
          <w:sz w:val="36"/>
          <w:szCs w:val="36"/>
        </w:rPr>
        <w:t>整体支出绩效自评</w:t>
      </w:r>
      <w:r>
        <w:rPr>
          <w:rFonts w:eastAsia="方正小标宋_GBK"/>
          <w:kern w:val="0"/>
          <w:sz w:val="36"/>
          <w:szCs w:val="36"/>
        </w:rPr>
        <w:t>基础数据表</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atLeast"/>
        <w:ind w:left="0"/>
        <w:jc w:val="center"/>
        <w:rPr>
          <w:rFonts w:eastAsia="仿宋_GB2312"/>
          <w:kern w:val="0"/>
          <w:sz w:val="24"/>
        </w:rPr>
      </w:pPr>
      <w:r>
        <w:rPr>
          <w:rFonts w:hint="eastAsia" w:eastAsia="仿宋_GB2312"/>
          <w:kern w:val="0"/>
          <w:sz w:val="24"/>
        </w:rPr>
        <w:t xml:space="preserve">                                                       单位：万元</w:t>
      </w: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224"/>
        <w:gridCol w:w="814"/>
        <w:gridCol w:w="951"/>
        <w:gridCol w:w="1289"/>
        <w:gridCol w:w="916"/>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2038"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编制数</w:t>
            </w:r>
          </w:p>
        </w:tc>
        <w:tc>
          <w:tcPr>
            <w:tcW w:w="2240"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1832"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ign w:val="center"/>
          </w:tcPr>
          <w:p>
            <w:pPr>
              <w:jc w:val="center"/>
              <w:rPr>
                <w:rFonts w:eastAsia="仿宋_GB2312"/>
                <w:kern w:val="0"/>
                <w:szCs w:val="21"/>
              </w:rPr>
            </w:pP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2038"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2022年决算数</w:t>
            </w:r>
          </w:p>
        </w:tc>
        <w:tc>
          <w:tcPr>
            <w:tcW w:w="2240"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2023年预算数</w:t>
            </w:r>
          </w:p>
        </w:tc>
        <w:tc>
          <w:tcPr>
            <w:tcW w:w="1832" w:type="dxa"/>
            <w:gridSpan w:val="2"/>
            <w:noWrap/>
            <w:vAlign w:val="center"/>
          </w:tcPr>
          <w:p>
            <w:pPr>
              <w:keepNext w:val="0"/>
              <w:keepLines w:val="0"/>
              <w:widowControl/>
              <w:suppressLineNumbers w:val="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三公经费</w:t>
            </w: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1.34</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其中：公车购置</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公车运行维护</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2、出国经费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3、公务接待</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1.34</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项目支出：</w:t>
            </w: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1、业务工作经费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2、运行维护经费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2038"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教育事业发展经费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公用经费：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其中：办公经费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水费、电费、差旅费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3.3</w:t>
            </w:r>
          </w:p>
        </w:tc>
        <w:tc>
          <w:tcPr>
            <w:tcW w:w="1832" w:type="dxa"/>
            <w:gridSpan w:val="2"/>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会议费、培训费</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政府采购金额</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 xml:space="preserve">部门基本支出预算调整 </w:t>
            </w:r>
          </w:p>
        </w:tc>
        <w:tc>
          <w:tcPr>
            <w:tcW w:w="2038" w:type="dxa"/>
            <w:gridSpan w:val="2"/>
            <w:noWrap/>
            <w:vAlign w:val="center"/>
          </w:tcPr>
          <w:p>
            <w:pPr>
              <w:jc w:val="center"/>
              <w:rPr>
                <w:rFonts w:eastAsia="仿宋_GB2312"/>
                <w:kern w:val="0"/>
                <w:szCs w:val="21"/>
              </w:rPr>
            </w:pPr>
          </w:p>
        </w:tc>
        <w:tc>
          <w:tcPr>
            <w:tcW w:w="2240" w:type="dxa"/>
            <w:gridSpan w:val="2"/>
            <w:noWrap/>
            <w:vAlign w:val="center"/>
          </w:tcPr>
          <w:p>
            <w:pPr>
              <w:jc w:val="center"/>
              <w:rPr>
                <w:rFonts w:eastAsia="仿宋_GB2312"/>
                <w:kern w:val="0"/>
                <w:szCs w:val="21"/>
              </w:rPr>
            </w:pPr>
          </w:p>
        </w:tc>
        <w:tc>
          <w:tcPr>
            <w:tcW w:w="1832" w:type="dxa"/>
            <w:gridSpan w:val="2"/>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（2023年完工项目）</w:t>
            </w:r>
          </w:p>
        </w:tc>
        <w:tc>
          <w:tcPr>
            <w:tcW w:w="1224"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 xml:space="preserve">批复规模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814"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实际规模</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951"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规模控制率</w:t>
            </w:r>
          </w:p>
        </w:tc>
        <w:tc>
          <w:tcPr>
            <w:tcW w:w="1289"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预算投资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16"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实际投资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16" w:type="dxa"/>
            <w:noWrap/>
            <w:vAlign w:val="center"/>
          </w:tcPr>
          <w:p>
            <w:pPr>
              <w:keepNext w:val="0"/>
              <w:keepLines w:val="0"/>
              <w:widowControl/>
              <w:suppressLineNumbers w:val="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354" w:type="dxa"/>
            <w:vMerge w:val="continue"/>
            <w:noWrap/>
            <w:vAlign w:val="center"/>
          </w:tcPr>
          <w:p>
            <w:pPr>
              <w:jc w:val="center"/>
              <w:rPr>
                <w:rFonts w:eastAsia="仿宋_GB2312"/>
                <w:kern w:val="0"/>
                <w:szCs w:val="21"/>
              </w:rPr>
            </w:pPr>
          </w:p>
        </w:tc>
        <w:tc>
          <w:tcPr>
            <w:tcW w:w="1224" w:type="dxa"/>
            <w:noWrap/>
            <w:vAlign w:val="center"/>
          </w:tcPr>
          <w:p>
            <w:pPr>
              <w:jc w:val="center"/>
              <w:rPr>
                <w:rFonts w:eastAsia="仿宋_GB2312"/>
                <w:kern w:val="0"/>
                <w:szCs w:val="21"/>
              </w:rPr>
            </w:pPr>
          </w:p>
        </w:tc>
        <w:tc>
          <w:tcPr>
            <w:tcW w:w="814" w:type="dxa"/>
            <w:noWrap/>
            <w:vAlign w:val="center"/>
          </w:tcPr>
          <w:p>
            <w:pPr>
              <w:jc w:val="center"/>
              <w:rPr>
                <w:rFonts w:eastAsia="仿宋_GB2312"/>
                <w:kern w:val="0"/>
                <w:szCs w:val="21"/>
              </w:rPr>
            </w:pPr>
          </w:p>
        </w:tc>
        <w:tc>
          <w:tcPr>
            <w:tcW w:w="951" w:type="dxa"/>
            <w:noWrap/>
            <w:vAlign w:val="center"/>
          </w:tcPr>
          <w:p>
            <w:pPr>
              <w:jc w:val="center"/>
              <w:rPr>
                <w:rFonts w:eastAsia="仿宋_GB2312"/>
                <w:kern w:val="0"/>
                <w:szCs w:val="21"/>
              </w:rPr>
            </w:pPr>
          </w:p>
        </w:tc>
        <w:tc>
          <w:tcPr>
            <w:tcW w:w="1289" w:type="dxa"/>
            <w:noWrap/>
            <w:vAlign w:val="center"/>
          </w:tcPr>
          <w:p>
            <w:pPr>
              <w:jc w:val="center"/>
              <w:rPr>
                <w:rFonts w:eastAsia="仿宋_GB2312"/>
                <w:kern w:val="0"/>
                <w:szCs w:val="21"/>
              </w:rPr>
            </w:pPr>
          </w:p>
        </w:tc>
        <w:tc>
          <w:tcPr>
            <w:tcW w:w="916" w:type="dxa"/>
            <w:noWrap/>
            <w:vAlign w:val="center"/>
          </w:tcPr>
          <w:p>
            <w:pPr>
              <w:jc w:val="center"/>
              <w:rPr>
                <w:rFonts w:eastAsia="仿宋_GB2312"/>
                <w:kern w:val="0"/>
                <w:szCs w:val="21"/>
              </w:rPr>
            </w:pPr>
          </w:p>
        </w:tc>
        <w:tc>
          <w:tcPr>
            <w:tcW w:w="916" w:type="dxa"/>
            <w:noWrap/>
            <w:vAlign w:val="center"/>
          </w:tcPr>
          <w:p>
            <w:pPr>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3354" w:type="dxa"/>
            <w:noWrap/>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厉行节约保障措施</w:t>
            </w:r>
          </w:p>
        </w:tc>
        <w:tc>
          <w:tcPr>
            <w:tcW w:w="6110" w:type="dxa"/>
            <w:gridSpan w:val="6"/>
            <w:noWrap/>
            <w:vAlign w:val="center"/>
          </w:tcPr>
          <w:p>
            <w:pPr>
              <w:jc w:val="center"/>
              <w:rPr>
                <w:rFonts w:eastAsia="仿宋_GB2312"/>
                <w:kern w:val="0"/>
                <w:szCs w:val="21"/>
              </w:rPr>
            </w:pPr>
          </w:p>
        </w:tc>
      </w:tr>
    </w:tbl>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eastAsia="方正小标宋_GBK"/>
          <w:color w:val="000000"/>
          <w:kern w:val="0"/>
          <w:sz w:val="36"/>
          <w:szCs w:val="36"/>
        </w:rPr>
        <w:t>部门整体支出绩效自评表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color w:val="000000"/>
          <w:kern w:val="0"/>
          <w:szCs w:val="21"/>
        </w:rPr>
      </w:pPr>
    </w:p>
    <w:tbl>
      <w:tblPr>
        <w:tblStyle w:val="5"/>
        <w:tblW w:w="9225"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2"/>
        <w:gridCol w:w="647"/>
        <w:gridCol w:w="877"/>
        <w:gridCol w:w="1482"/>
        <w:gridCol w:w="822"/>
        <w:gridCol w:w="859"/>
        <w:gridCol w:w="118"/>
        <w:gridCol w:w="506"/>
        <w:gridCol w:w="618"/>
        <w:gridCol w:w="532"/>
        <w:gridCol w:w="684"/>
        <w:gridCol w:w="162"/>
        <w:gridCol w:w="654"/>
        <w:gridCol w:w="6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right"/>
        </w:trPr>
        <w:tc>
          <w:tcPr>
            <w:tcW w:w="216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7059"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江永县上江圩镇中心幼儿园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right"/>
        </w:trPr>
        <w:tc>
          <w:tcPr>
            <w:tcW w:w="2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Microsoft YaHei UI" w:hAnsi="Microsoft YaHei UI" w:eastAsia="Microsoft YaHei UI" w:cs="Microsoft YaHei UI"/>
                <w:i w:val="0"/>
                <w:iCs w:val="0"/>
                <w:color w:val="000000"/>
                <w:sz w:val="18"/>
                <w:szCs w:val="18"/>
                <w:u w:val="none"/>
              </w:rPr>
            </w:pPr>
            <w:r>
              <w:rPr>
                <w:rFonts w:hint="default" w:ascii="Microsoft YaHei UI" w:hAnsi="Microsoft YaHei UI" w:eastAsia="Microsoft YaHei UI" w:cs="Microsoft YaHei UI"/>
                <w:i w:val="0"/>
                <w:iCs w:val="0"/>
                <w:color w:val="000000"/>
                <w:kern w:val="0"/>
                <w:sz w:val="18"/>
                <w:szCs w:val="18"/>
                <w:u w:val="none"/>
                <w:lang w:val="en-US" w:eastAsia="zh-CN" w:bidi="ar"/>
              </w:rPr>
              <w:t>年度预算申请</w:t>
            </w:r>
            <w:r>
              <w:rPr>
                <w:rFonts w:hint="default" w:ascii="Microsoft YaHei UI" w:hAnsi="Microsoft YaHei UI" w:eastAsia="Microsoft YaHei UI" w:cs="Microsoft YaHei UI"/>
                <w:i w:val="0"/>
                <w:iCs w:val="0"/>
                <w:color w:val="000000"/>
                <w:kern w:val="0"/>
                <w:sz w:val="18"/>
                <w:szCs w:val="18"/>
                <w:u w:val="none"/>
                <w:lang w:val="en-US" w:eastAsia="zh-CN" w:bidi="ar"/>
              </w:rPr>
              <w:br w:type="textWrapping"/>
            </w:r>
            <w:r>
              <w:rPr>
                <w:rFonts w:hint="default" w:ascii="Microsoft YaHei UI" w:hAnsi="Microsoft YaHei UI" w:eastAsia="Microsoft YaHei UI" w:cs="Microsoft YaHei UI"/>
                <w:i w:val="0"/>
                <w:iCs w:val="0"/>
                <w:color w:val="000000"/>
                <w:kern w:val="0"/>
                <w:sz w:val="18"/>
                <w:szCs w:val="18"/>
                <w:u w:val="none"/>
                <w:lang w:val="en-US" w:eastAsia="zh-CN" w:bidi="ar"/>
              </w:rPr>
              <w:t>(万元)</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年初预算数(万元)</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全年预算数（万元）</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全年执行数（万元）</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年度资金总额：</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按收入性质分：</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一般公共预算：</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122.34</w:t>
            </w:r>
          </w:p>
        </w:tc>
        <w:tc>
          <w:tcPr>
            <w:tcW w:w="12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其中:基本支出：</w:t>
            </w:r>
          </w:p>
        </w:tc>
        <w:tc>
          <w:tcPr>
            <w:tcW w:w="14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政府性基金拨款：</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4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纳入专户管理的非税收入拨款：</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宋体" w:hAnsi="宋体" w:eastAsia="宋体" w:cs="宋体"/>
                <w:b/>
                <w:bCs/>
                <w:i w:val="0"/>
                <w:iCs w:val="0"/>
                <w:color w:val="000000"/>
                <w:kern w:val="0"/>
                <w:sz w:val="18"/>
                <w:szCs w:val="18"/>
                <w:u w:val="none"/>
                <w:lang w:val="en-US" w:eastAsia="zh-CN" w:bidi="ar"/>
              </w:rPr>
              <w:t>项目支出：</w:t>
            </w:r>
          </w:p>
        </w:tc>
        <w:tc>
          <w:tcPr>
            <w:tcW w:w="14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27.12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其他资金</w:t>
            </w:r>
          </w:p>
        </w:tc>
        <w:tc>
          <w:tcPr>
            <w:tcW w:w="29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4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jc w:val="right"/>
        </w:trPr>
        <w:tc>
          <w:tcPr>
            <w:tcW w:w="2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年度总体目标</w:t>
            </w: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预期目标</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right"/>
        </w:trPr>
        <w:tc>
          <w:tcPr>
            <w:tcW w:w="2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44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贯彻实行国家教育方针政策，提高幼儿园教育质量，促进幼儿全面发展，提高教师教学水平，更好的满足家长和幼儿的需求。</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righ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绩效指标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一级指标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三级指标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b/>
                <w:bCs/>
                <w:i w:val="0"/>
                <w:iCs w:val="0"/>
                <w:color w:val="000000"/>
                <w:kern w:val="0"/>
                <w:sz w:val="18"/>
                <w:szCs w:val="18"/>
                <w:u w:val="none"/>
                <w:lang w:val="en-US" w:eastAsia="zh-CN" w:bidi="ar"/>
              </w:rPr>
              <w:t>分值</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righ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22人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267人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267人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r>
              <w:rPr>
                <w:rFonts w:hint="default" w:ascii="仿宋_GB2312" w:hAnsi="宋体" w:eastAsia="仿宋_GB2312" w:cs="仿宋_GB2312"/>
                <w:i w:val="0"/>
                <w:iCs w:val="0"/>
                <w:color w:val="000000"/>
                <w:kern w:val="0"/>
                <w:sz w:val="18"/>
                <w:szCs w:val="18"/>
                <w:u w:val="none"/>
                <w:lang w:val="en-US" w:eastAsia="zh-CN" w:bidi="ar"/>
              </w:rPr>
              <w:t>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学生资助人数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66人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66人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津贴补贴奖金人数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工会经费人数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22人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22人</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学生人数准确率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事业发展资金完成率</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3</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完成时间</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2023年内完成</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2023年内完成</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提高教师队伍生活质量</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提高教师队伍生活质量</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提高教师队伍生活质量</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促进全园师生全面发展</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促进全园师生全面发展</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促进全面师生发展</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校园环境改善</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家长满意度</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94%</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学生满意度</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基本支出执行数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95.22万元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95.22万元</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宋体" w:hAnsi="宋体" w:eastAsia="宋体" w:cs="宋体"/>
                <w:i w:val="0"/>
                <w:iCs w:val="0"/>
                <w:color w:val="000000"/>
                <w:sz w:val="18"/>
                <w:szCs w:val="18"/>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项目支出执行数</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27.12万元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27.12万元</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资金使用合格</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合格</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合格</w:t>
            </w: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default" w:ascii="仿宋_GB2312" w:hAnsi="宋体" w:eastAsia="仿宋_GB2312" w:cs="仿宋_GB2312"/>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i w:val="0"/>
                <w:iCs w:val="0"/>
                <w:color w:val="000000"/>
                <w:sz w:val="18"/>
                <w:szCs w:val="18"/>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仿宋_GB2312" w:hAnsi="宋体" w:eastAsia="仿宋_GB2312" w:cs="仿宋_GB2312"/>
                <w:i w:val="0"/>
                <w:iCs w:val="0"/>
                <w:color w:val="000000"/>
                <w:sz w:val="18"/>
                <w:szCs w:val="18"/>
                <w:u w:val="none"/>
              </w:rPr>
            </w:pPr>
          </w:p>
        </w:tc>
        <w:tc>
          <w:tcPr>
            <w:tcW w:w="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26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上江圩镇中心幼儿园</w:t>
      </w:r>
      <w:r>
        <w:rPr>
          <w:rFonts w:ascii="黑体" w:hAnsi="黑体" w:eastAsia="黑体"/>
          <w:kern w:val="0"/>
          <w:sz w:val="32"/>
          <w:szCs w:val="32"/>
        </w:rPr>
        <w:t>部门整体支出绩效评价表</w:t>
      </w:r>
    </w:p>
    <w:tbl>
      <w:tblPr>
        <w:tblStyle w:val="5"/>
        <w:tblW w:w="9248" w:type="dxa"/>
        <w:jc w:val="center"/>
        <w:tblLayout w:type="fixed"/>
        <w:tblCellMar>
          <w:top w:w="0" w:type="dxa"/>
          <w:left w:w="108" w:type="dxa"/>
          <w:bottom w:w="0" w:type="dxa"/>
          <w:right w:w="108" w:type="dxa"/>
        </w:tblCellMar>
      </w:tblPr>
      <w:tblGrid>
        <w:gridCol w:w="354"/>
        <w:gridCol w:w="365"/>
        <w:gridCol w:w="363"/>
        <w:gridCol w:w="384"/>
        <w:gridCol w:w="1044"/>
        <w:gridCol w:w="392"/>
        <w:gridCol w:w="3232"/>
        <w:gridCol w:w="2808"/>
        <w:gridCol w:w="306"/>
      </w:tblGrid>
      <w:tr>
        <w:tblPrEx>
          <w:tblCellMar>
            <w:top w:w="0" w:type="dxa"/>
            <w:left w:w="108" w:type="dxa"/>
            <w:bottom w:w="0" w:type="dxa"/>
            <w:right w:w="108" w:type="dxa"/>
          </w:tblCellMar>
        </w:tblPrEx>
        <w:trPr>
          <w:trHeight w:val="1390" w:hRule="atLeast"/>
          <w:jc w:val="center"/>
        </w:trPr>
        <w:tc>
          <w:tcPr>
            <w:tcW w:w="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3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38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10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三级</w:t>
            </w:r>
          </w:p>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3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评价标准</w:t>
            </w:r>
          </w:p>
        </w:tc>
        <w:tc>
          <w:tcPr>
            <w:tcW w:w="28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指标说明</w:t>
            </w:r>
          </w:p>
        </w:tc>
        <w:tc>
          <w:tcPr>
            <w:tcW w:w="30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得分</w:t>
            </w:r>
          </w:p>
        </w:tc>
      </w:tr>
      <w:tr>
        <w:tblPrEx>
          <w:tblCellMar>
            <w:top w:w="0" w:type="dxa"/>
            <w:left w:w="108" w:type="dxa"/>
            <w:bottom w:w="0" w:type="dxa"/>
            <w:right w:w="108" w:type="dxa"/>
          </w:tblCellMar>
        </w:tblPrEx>
        <w:trPr>
          <w:trHeight w:val="1814" w:hRule="atLeast"/>
          <w:jc w:val="center"/>
        </w:trPr>
        <w:tc>
          <w:tcPr>
            <w:tcW w:w="354"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投入</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3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预算配置</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以100%为标准。在职人员控制率≦100%，计5分；每超过一个百分点扣0.5分，扣完为止。</w:t>
            </w:r>
          </w:p>
        </w:tc>
        <w:tc>
          <w:tcPr>
            <w:tcW w:w="280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在职人员控制率=（在职人员数/编制数）×100%，在职人员数：部门（单位）实际在职人数，以市财政局确定的部门决算编制口径为准。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编制数：机构编制部门核定批复的部门（单位）的人员编制数。</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变动率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变动率≦0,计5分；</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＞0，每超过一个百分点扣0.8分，扣完为止。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变动率=[（本年度</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预算数-上年度</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预算数）/上年度</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预算数]×100%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60</w:t>
            </w: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预算执行</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20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100%计满分，每低于5%扣2分，扣完为止。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预算完成率=（上年结转+年初预算+本年追加预算-年末结余）/（上年结转+年初预算+本年追加预算）×100%。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2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预算控制率=0，计5分；0-10%（含），计4分；10-20%（含），计3分；20-30%（含），计2分；大于30%不得分。</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预算控制率=（本年追加预算/年初预算）×100%。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32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新建楼堂馆所面积控制率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100%以下（含）计满分，每超出5%扣2分，扣完为止。没有楼堂馆所项目的部门按满分计算。</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楼堂馆所面积控制率=实际建设面积/批准建设面积×100%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FF0000"/>
                <w:kern w:val="0"/>
                <w:sz w:val="21"/>
                <w:szCs w:val="21"/>
              </w:rPr>
              <w:t>　</w:t>
            </w:r>
            <w:r>
              <w:rPr>
                <w:rFonts w:hint="eastAsia" w:ascii="仿宋" w:hAnsi="仿宋" w:eastAsia="仿宋" w:cs="仿宋"/>
                <w:color w:val="000000"/>
                <w:kern w:val="0"/>
                <w:sz w:val="21"/>
                <w:szCs w:val="21"/>
              </w:rPr>
              <w:t>5</w:t>
            </w:r>
          </w:p>
        </w:tc>
      </w:tr>
      <w:tr>
        <w:tblPrEx>
          <w:tblCellMar>
            <w:top w:w="0" w:type="dxa"/>
            <w:left w:w="108" w:type="dxa"/>
            <w:bottom w:w="0" w:type="dxa"/>
            <w:right w:w="108" w:type="dxa"/>
          </w:tblCellMar>
        </w:tblPrEx>
        <w:trPr>
          <w:trHeight w:val="154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新建楼堂馆所投资概算控制率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楼堂馆所投资预算控制率=实际投资金额/批准投资金额×100%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562"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40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公用经费控制率=（实际支出公用经费总额/预算安排公用经费总额）×100%。</w:t>
            </w:r>
            <w:r>
              <w:rPr>
                <w:rFonts w:hint="eastAsia" w:ascii="仿宋" w:hAnsi="仿宋" w:eastAsia="仿宋" w:cs="仿宋"/>
                <w:kern w:val="0"/>
                <w:sz w:val="21"/>
                <w:szCs w:val="21"/>
              </w:rPr>
              <w:br w:type="textWrapping"/>
            </w:r>
            <w:r>
              <w:rPr>
                <w:rFonts w:hint="eastAsia" w:ascii="仿宋" w:hAnsi="仿宋" w:eastAsia="仿宋" w:cs="仿宋"/>
                <w:kern w:val="0"/>
                <w:sz w:val="21"/>
                <w:szCs w:val="21"/>
              </w:rPr>
              <w:t>公用经费支出是指部门基本支出中的一般商品和服务支出。</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8</w:t>
            </w:r>
          </w:p>
        </w:tc>
      </w:tr>
      <w:tr>
        <w:tblPrEx>
          <w:tblCellMar>
            <w:top w:w="0" w:type="dxa"/>
            <w:left w:w="108" w:type="dxa"/>
            <w:bottom w:w="0" w:type="dxa"/>
            <w:right w:w="108" w:type="dxa"/>
          </w:tblCellMar>
        </w:tblPrEx>
        <w:trPr>
          <w:trHeight w:val="10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7</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控制率-（</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实际支出数/</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预算安排数）×100%。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w:t>
            </w:r>
          </w:p>
        </w:tc>
      </w:tr>
      <w:tr>
        <w:tblPrEx>
          <w:tblCellMar>
            <w:top w:w="0" w:type="dxa"/>
            <w:left w:w="108" w:type="dxa"/>
            <w:bottom w:w="0" w:type="dxa"/>
            <w:right w:w="108" w:type="dxa"/>
          </w:tblCellMar>
        </w:tblPrEx>
        <w:trPr>
          <w:trHeight w:val="91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100%计满分，每超过（降低）5%扣2分。扣完为止。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政府采购执行率=（实际政府采购金额/政府采购预算数）×100%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管理制度健全性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604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①有内部财务管理制度、会计核算制度等管理制度，2分；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②有本部门厉行节约制度,2分；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③相关管理制度合法、合规、完整，2分；④相关管理制度得到有效执行，2分。</w:t>
            </w:r>
          </w:p>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tblPrEx>
          <w:tblCellMar>
            <w:top w:w="0" w:type="dxa"/>
            <w:left w:w="108" w:type="dxa"/>
            <w:bottom w:w="0" w:type="dxa"/>
            <w:right w:w="108" w:type="dxa"/>
          </w:tblCellMar>
        </w:tblPrEx>
        <w:trPr>
          <w:trHeight w:val="1901"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资金使用合规性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604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以上情况每出现一例不符合要求的扣1分，扣完为止。</w:t>
            </w:r>
          </w:p>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6</w:t>
            </w: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预决算信息公开性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预决算信息是指与部门预算、执行、决算、监督、绩效等管理相关的信息。</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产出及效率</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30</w:t>
            </w:r>
          </w:p>
        </w:tc>
        <w:tc>
          <w:tcPr>
            <w:tcW w:w="3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职责履行</w:t>
            </w:r>
          </w:p>
        </w:tc>
        <w:tc>
          <w:tcPr>
            <w:tcW w:w="3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1044"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重点工作实际完成率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根据绩效办2021年对各部门为民办实事和部门重点工程与重点工作考核分数折算。</w:t>
            </w:r>
            <w:r>
              <w:rPr>
                <w:rFonts w:hint="eastAsia" w:ascii="仿宋" w:hAnsi="仿宋" w:eastAsia="仿宋" w:cs="仿宋"/>
                <w:kern w:val="0"/>
                <w:sz w:val="21"/>
                <w:szCs w:val="21"/>
              </w:rPr>
              <w:br w:type="textWrapping"/>
            </w:r>
            <w:r>
              <w:rPr>
                <w:rFonts w:hint="eastAsia" w:ascii="仿宋" w:hAnsi="仿宋" w:eastAsia="仿宋" w:cs="仿宋"/>
                <w:kern w:val="0"/>
                <w:sz w:val="21"/>
                <w:szCs w:val="21"/>
              </w:rPr>
              <w:t>该项得分=（绩效办对应部分考核得分/350）*8</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tblPrEx>
          <w:tblCellMar>
            <w:top w:w="0" w:type="dxa"/>
            <w:left w:w="108" w:type="dxa"/>
            <w:bottom w:w="0" w:type="dxa"/>
            <w:right w:w="108" w:type="dxa"/>
          </w:tblCellMar>
        </w:tblPrEx>
        <w:trPr>
          <w:trHeight w:val="44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履职 效益</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经济效益</w:t>
            </w:r>
          </w:p>
        </w:tc>
        <w:tc>
          <w:tcPr>
            <w:tcW w:w="392" w:type="dxa"/>
            <w:vMerge w:val="restart"/>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6040" w:type="dxa"/>
            <w:gridSpan w:val="2"/>
            <w:vMerge w:val="restart"/>
            <w:tcBorders>
              <w:top w:val="nil"/>
              <w:left w:val="nil"/>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此两项指标为设置部门整体支出绩效评价指标时必须考虑的共性要素，可根据部门实际情况有选择的进行设置，并将其细化为相应的个性化指标。</w:t>
            </w:r>
          </w:p>
        </w:tc>
        <w:tc>
          <w:tcPr>
            <w:tcW w:w="306"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r>
      <w:tr>
        <w:tblPrEx>
          <w:tblCellMar>
            <w:top w:w="0" w:type="dxa"/>
            <w:left w:w="108" w:type="dxa"/>
            <w:bottom w:w="0" w:type="dxa"/>
            <w:right w:w="108" w:type="dxa"/>
          </w:tblCellMar>
        </w:tblPrEx>
        <w:trPr>
          <w:trHeight w:val="80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社会效益</w:t>
            </w:r>
          </w:p>
        </w:tc>
        <w:tc>
          <w:tcPr>
            <w:tcW w:w="392"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6040" w:type="dxa"/>
            <w:gridSpan w:val="2"/>
            <w:vMerge w:val="continue"/>
            <w:tcBorders>
              <w:top w:val="nil"/>
              <w:left w:val="nil"/>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06" w:type="dxa"/>
            <w:vMerge w:val="continue"/>
            <w:tcBorders>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12</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事业</w:t>
            </w:r>
            <w:r>
              <w:rPr>
                <w:rFonts w:hint="eastAsia" w:ascii="仿宋" w:hAnsi="仿宋" w:eastAsia="仿宋" w:cs="仿宋"/>
                <w:kern w:val="0"/>
                <w:sz w:val="21"/>
                <w:szCs w:val="21"/>
              </w:rPr>
              <w:t>效能</w:t>
            </w:r>
          </w:p>
        </w:tc>
        <w:tc>
          <w:tcPr>
            <w:tcW w:w="3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促进部门改进文风会风，加强经费及资产管理，推动网上办事，提高行政效率，降低行政成本效果较好的计6分；一般3分；无效果或者效果不明显0分。</w:t>
            </w:r>
          </w:p>
        </w:tc>
        <w:tc>
          <w:tcPr>
            <w:tcW w:w="28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根据部门自评材料评定。</w:t>
            </w:r>
          </w:p>
        </w:tc>
        <w:tc>
          <w:tcPr>
            <w:tcW w:w="30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r>
      <w:tr>
        <w:tblPrEx>
          <w:tblCellMar>
            <w:top w:w="0" w:type="dxa"/>
            <w:left w:w="108" w:type="dxa"/>
            <w:bottom w:w="0" w:type="dxa"/>
            <w:right w:w="108" w:type="dxa"/>
          </w:tblCellMar>
        </w:tblPrEx>
        <w:trPr>
          <w:trHeight w:val="1241" w:hRule="atLeast"/>
          <w:jc w:val="center"/>
        </w:trPr>
        <w:tc>
          <w:tcPr>
            <w:tcW w:w="354"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社会公众或服务对象满意度</w:t>
            </w:r>
          </w:p>
        </w:tc>
        <w:tc>
          <w:tcPr>
            <w:tcW w:w="39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90%（含）以上计6分；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80%（含）-90%，计4分；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70%（含）-80%，计2分；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低于70%计0分。</w:t>
            </w:r>
          </w:p>
        </w:tc>
        <w:tc>
          <w:tcPr>
            <w:tcW w:w="2808"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社会公众或服务对象是指部门（单位）履行职责而影响到的部门、群体或个人，一般采取社会调查的方式。</w:t>
            </w:r>
          </w:p>
        </w:tc>
        <w:tc>
          <w:tcPr>
            <w:tcW w:w="306"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tblPrEx>
          <w:tblCellMar>
            <w:top w:w="0" w:type="dxa"/>
            <w:left w:w="108" w:type="dxa"/>
            <w:bottom w:w="0" w:type="dxa"/>
            <w:right w:w="108" w:type="dxa"/>
          </w:tblCellMar>
        </w:tblPrEx>
        <w:trPr>
          <w:trHeight w:val="90" w:hRule="atLeast"/>
          <w:jc w:val="center"/>
        </w:trPr>
        <w:tc>
          <w:tcPr>
            <w:tcW w:w="719"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合计</w:t>
            </w:r>
          </w:p>
        </w:tc>
        <w:tc>
          <w:tcPr>
            <w:tcW w:w="8529"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100分</w:t>
            </w: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b/>
          <w:bCs/>
          <w:color w:val="0C0C0C" w:themeColor="text1" w:themeTint="F2"/>
          <w:sz w:val="44"/>
          <w:szCs w:val="44"/>
          <w:lang w:eastAsia="zh-CN"/>
        </w:rPr>
      </w:pPr>
      <w:r>
        <w:rPr>
          <w:rFonts w:hint="eastAsia"/>
          <w:b/>
          <w:bCs/>
          <w:color w:val="0C0C0C" w:themeColor="text1" w:themeTint="F2"/>
          <w:sz w:val="44"/>
          <w:szCs w:val="44"/>
          <w:lang w:val="en-US" w:eastAsia="zh-CN"/>
        </w:rPr>
        <w:t>2023年度上江圩镇中心幼儿园</w:t>
      </w:r>
      <w:r>
        <w:rPr>
          <w:rFonts w:hint="eastAsia"/>
          <w:b/>
          <w:bCs/>
          <w:color w:val="0C0C0C" w:themeColor="text1" w:themeTint="F2"/>
          <w:sz w:val="44"/>
          <w:szCs w:val="44"/>
        </w:rPr>
        <w:t>专项资金</w:t>
      </w: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color w:val="0C0C0C" w:themeColor="text1" w:themeTint="F2"/>
          <w:sz w:val="44"/>
          <w:szCs w:val="44"/>
          <w:lang w:val="en-US" w:eastAsia="zh-CN"/>
        </w:rPr>
      </w:pPr>
      <w:r>
        <w:rPr>
          <w:rFonts w:hint="eastAsia"/>
          <w:b/>
          <w:bCs/>
          <w:color w:val="0C0C0C" w:themeColor="text1" w:themeTint="F2"/>
          <w:sz w:val="44"/>
          <w:szCs w:val="44"/>
        </w:rPr>
        <w:t>绩效自评报告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按照</w:t>
      </w:r>
      <w:r>
        <w:rPr>
          <w:rFonts w:hint="eastAsia" w:eastAsia="仿宋" w:asciiTheme="minorAscii" w:hAnsiTheme="minorAscii"/>
          <w:color w:val="0C0C0C" w:themeColor="text1" w:themeTint="F2"/>
          <w:sz w:val="30"/>
          <w:szCs w:val="30"/>
          <w:lang w:eastAsia="zh-CN"/>
        </w:rPr>
        <w:t>上级</w:t>
      </w:r>
      <w:r>
        <w:rPr>
          <w:rFonts w:hint="default" w:eastAsia="仿宋" w:asciiTheme="minorAscii" w:hAnsiTheme="minorAscii"/>
          <w:color w:val="0C0C0C" w:themeColor="text1" w:themeTint="F2"/>
          <w:sz w:val="30"/>
          <w:szCs w:val="30"/>
        </w:rPr>
        <w:t>文件的要求，我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对20</w:t>
      </w:r>
      <w:r>
        <w:rPr>
          <w:rFonts w:hint="eastAsia" w:eastAsia="仿宋" w:asciiTheme="minorAscii" w:hAnsiTheme="minorAscii"/>
          <w:color w:val="0C0C0C" w:themeColor="text1" w:themeTint="F2"/>
          <w:sz w:val="30"/>
          <w:szCs w:val="30"/>
          <w:lang w:val="en-US" w:eastAsia="zh-CN"/>
        </w:rPr>
        <w:t>23</w:t>
      </w:r>
      <w:r>
        <w:rPr>
          <w:rFonts w:hint="default" w:eastAsia="仿宋" w:asciiTheme="minorAscii" w:hAnsiTheme="minorAscii"/>
          <w:color w:val="0C0C0C" w:themeColor="text1" w:themeTint="F2"/>
          <w:sz w:val="30"/>
          <w:szCs w:val="30"/>
        </w:rPr>
        <w:t>年</w:t>
      </w:r>
      <w:r>
        <w:rPr>
          <w:rFonts w:hint="eastAsia" w:eastAsia="仿宋" w:asciiTheme="minorAscii" w:hAnsiTheme="minorAscii"/>
          <w:color w:val="0C0C0C" w:themeColor="text1" w:themeTint="F2"/>
          <w:sz w:val="30"/>
          <w:szCs w:val="30"/>
          <w:lang w:eastAsia="zh-CN"/>
        </w:rPr>
        <w:t>县财政</w:t>
      </w:r>
      <w:r>
        <w:rPr>
          <w:rFonts w:hint="default" w:eastAsia="仿宋" w:asciiTheme="minorAscii" w:hAnsiTheme="minorAscii"/>
          <w:color w:val="0C0C0C" w:themeColor="text1" w:themeTint="F2"/>
          <w:sz w:val="30"/>
          <w:szCs w:val="30"/>
        </w:rPr>
        <w:t>部门下拨的财政扶持</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专项资金的使用情况和达到的效果进行了认真的自查，现将自查情况报告如下：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color w:val="0C0C0C" w:themeColor="text1" w:themeTint="F2"/>
          <w:sz w:val="30"/>
          <w:szCs w:val="30"/>
        </w:rPr>
      </w:pPr>
      <w:r>
        <w:rPr>
          <w:rFonts w:hint="eastAsia" w:ascii="黑体" w:hAnsi="黑体" w:eastAsia="黑体" w:cs="黑体"/>
          <w:color w:val="0C0C0C" w:themeColor="text1" w:themeTint="F2"/>
          <w:sz w:val="30"/>
          <w:szCs w:val="30"/>
        </w:rPr>
        <w:t>一、基本情况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为了保障</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事业发展的需要，20</w:t>
      </w:r>
      <w:r>
        <w:rPr>
          <w:rFonts w:hint="eastAsia" w:eastAsia="仿宋" w:asciiTheme="minorAscii" w:hAnsiTheme="minorAscii"/>
          <w:color w:val="0C0C0C" w:themeColor="text1" w:themeTint="F2"/>
          <w:sz w:val="30"/>
          <w:szCs w:val="30"/>
          <w:lang w:val="en-US" w:eastAsia="zh-CN"/>
        </w:rPr>
        <w:t>23</w:t>
      </w:r>
      <w:r>
        <w:rPr>
          <w:rFonts w:hint="default" w:eastAsia="仿宋" w:asciiTheme="minorAscii" w:hAnsiTheme="minorAscii"/>
          <w:color w:val="0C0C0C" w:themeColor="text1" w:themeTint="F2"/>
          <w:sz w:val="30"/>
          <w:szCs w:val="30"/>
        </w:rPr>
        <w:t>年财政安排</w:t>
      </w:r>
      <w:r>
        <w:rPr>
          <w:rFonts w:hint="eastAsia" w:eastAsia="仿宋" w:asciiTheme="minorAscii" w:hAnsiTheme="minorAscii"/>
          <w:color w:val="0C0C0C" w:themeColor="text1" w:themeTint="F2"/>
          <w:sz w:val="30"/>
          <w:szCs w:val="30"/>
          <w:lang w:eastAsia="zh-CN"/>
        </w:rPr>
        <w:t>专项经费支出</w:t>
      </w:r>
      <w:r>
        <w:rPr>
          <w:rFonts w:hint="eastAsia" w:eastAsia="仿宋" w:asciiTheme="minorAscii" w:hAnsiTheme="minorAscii"/>
          <w:color w:val="0C0C0C" w:themeColor="text1" w:themeTint="F2"/>
          <w:sz w:val="30"/>
          <w:szCs w:val="30"/>
          <w:lang w:val="en-US" w:eastAsia="zh-CN"/>
        </w:rPr>
        <w:t>27.12</w:t>
      </w:r>
      <w:r>
        <w:rPr>
          <w:rFonts w:hint="default" w:eastAsia="仿宋" w:asciiTheme="minorAscii" w:hAnsiTheme="minorAscii"/>
          <w:color w:val="0C0C0C" w:themeColor="text1" w:themeTint="F2"/>
          <w:sz w:val="30"/>
          <w:szCs w:val="30"/>
        </w:rPr>
        <w:t>万元，具体项目情况如下：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1、教师津贴补贴福利14.96万元，用于提高农村基层教师</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待遇，幼儿园实际支出14.96万元。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2、教师伙食补助1.56万元，提高教师生活水平，幼儿园实</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际支出1.56 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3、工会经费2.7万元，幼儿园实际支出2.7 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4、学生资助2.6万元，帮助贫困幼儿家庭。</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lang w:val="en-US" w:eastAsia="zh-CN"/>
        </w:rPr>
      </w:pPr>
      <w:r>
        <w:rPr>
          <w:rFonts w:hint="eastAsia" w:eastAsia="仿宋" w:asciiTheme="minorAscii" w:hAnsiTheme="minorAscii"/>
          <w:color w:val="0C0C0C" w:themeColor="text1" w:themeTint="F2"/>
          <w:sz w:val="30"/>
          <w:szCs w:val="30"/>
          <w:lang w:val="en-US" w:eastAsia="zh-CN"/>
        </w:rPr>
        <w:t>5、办公费、电费及委托业务费5.3万元。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ascii="黑体" w:hAnsi="黑体" w:eastAsia="黑体" w:cs="黑体"/>
          <w:color w:val="0C0C0C" w:themeColor="text1" w:themeTint="F2"/>
          <w:sz w:val="30"/>
          <w:szCs w:val="30"/>
        </w:rPr>
      </w:pPr>
      <w:r>
        <w:rPr>
          <w:rFonts w:hint="default" w:ascii="黑体" w:hAnsi="黑体" w:eastAsia="黑体" w:cs="黑体"/>
          <w:color w:val="0C0C0C" w:themeColor="text1" w:themeTint="F2"/>
          <w:sz w:val="30"/>
          <w:szCs w:val="30"/>
        </w:rPr>
        <w:t>二、经费全部拔付到账。</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专项资金综合使用情况及绩效评估主要体现在以下几方面：</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 xml:space="preserve">1、项目经费按照项目实施进度安排，按时足额到位。未出现截留、挤占、挪用等现象。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2、经费到达后，我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严格按项目计划和规定用途专款专用；建立健全会计核算制度，专项核算财政扶持</w:t>
      </w:r>
      <w:r>
        <w:rPr>
          <w:rFonts w:hint="eastAsia" w:eastAsia="仿宋" w:asciiTheme="minorAscii" w:hAnsiTheme="minorAscii"/>
          <w:color w:val="0C0C0C" w:themeColor="text1" w:themeTint="F2"/>
          <w:sz w:val="30"/>
          <w:szCs w:val="30"/>
          <w:lang w:eastAsia="zh-CN"/>
        </w:rPr>
        <w:t>幼儿园</w:t>
      </w:r>
      <w:r>
        <w:rPr>
          <w:rFonts w:hint="default" w:eastAsia="仿宋" w:asciiTheme="minorAscii" w:hAnsiTheme="minorAscii"/>
          <w:color w:val="0C0C0C" w:themeColor="text1" w:themeTint="F2"/>
          <w:sz w:val="30"/>
          <w:szCs w:val="30"/>
        </w:rPr>
        <w:t>发展专项资金的使用情况。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3、我</w:t>
      </w:r>
      <w:r>
        <w:rPr>
          <w:rFonts w:hint="eastAsia" w:eastAsia="仿宋" w:asciiTheme="minorAscii" w:hAnsiTheme="minorAscii"/>
          <w:color w:val="0C0C0C" w:themeColor="text1" w:themeTint="F2"/>
          <w:sz w:val="30"/>
          <w:szCs w:val="30"/>
          <w:lang w:eastAsia="zh-CN"/>
        </w:rPr>
        <w:t>园</w:t>
      </w:r>
      <w:r>
        <w:rPr>
          <w:rFonts w:hint="default" w:eastAsia="仿宋" w:asciiTheme="minorAscii" w:hAnsiTheme="minorAscii"/>
          <w:color w:val="0C0C0C" w:themeColor="text1" w:themeTint="F2"/>
          <w:sz w:val="30"/>
          <w:szCs w:val="30"/>
        </w:rPr>
        <w:t>定期向主管部门汇报项目进展与专项资金核算使用情况。项目按照序时进度进行，未出现项目滞后情况。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4、</w:t>
      </w:r>
      <w:r>
        <w:rPr>
          <w:rFonts w:hint="eastAsia" w:eastAsia="仿宋" w:asciiTheme="minorAscii" w:hAnsiTheme="minorAscii"/>
          <w:color w:val="0C0C0C" w:themeColor="text1" w:themeTint="F2"/>
          <w:sz w:val="30"/>
          <w:szCs w:val="30"/>
          <w:lang w:eastAsia="zh-CN"/>
        </w:rPr>
        <w:t>项目经费主要用于改善幼儿园办学条件以及幼儿园正常运转等</w:t>
      </w:r>
      <w:r>
        <w:rPr>
          <w:rFonts w:hint="default" w:eastAsia="仿宋" w:asciiTheme="minorAscii" w:hAnsiTheme="minorAscii"/>
          <w:color w:val="0C0C0C" w:themeColor="text1" w:themeTint="F2"/>
          <w:sz w:val="30"/>
          <w:szCs w:val="30"/>
        </w:rPr>
        <w:t>。</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default" w:eastAsia="仿宋" w:asciiTheme="minorAscii" w:hAnsiTheme="minorAscii"/>
          <w:color w:val="0C0C0C" w:themeColor="text1" w:themeTint="F2"/>
          <w:sz w:val="30"/>
          <w:szCs w:val="30"/>
        </w:rPr>
        <w:t>5、所有申报项目的实施都已按照预定目标快速、高效组织实施并取得较好的效益。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color w:val="0C0C0C" w:themeColor="text1" w:themeTint="F2"/>
          <w:sz w:val="30"/>
          <w:szCs w:val="30"/>
        </w:rPr>
      </w:pPr>
      <w:r>
        <w:rPr>
          <w:rFonts w:hint="default" w:ascii="黑体" w:hAnsi="黑体" w:eastAsia="黑体" w:cs="黑体"/>
          <w:color w:val="0C0C0C" w:themeColor="text1" w:themeTint="F2"/>
          <w:sz w:val="30"/>
          <w:szCs w:val="30"/>
        </w:rPr>
        <w:t>三、</w:t>
      </w:r>
      <w:r>
        <w:rPr>
          <w:rFonts w:hint="eastAsia" w:ascii="黑体" w:hAnsi="黑体" w:eastAsia="黑体" w:cs="黑体"/>
          <w:color w:val="0C0C0C" w:themeColor="text1" w:themeTint="F2"/>
          <w:sz w:val="30"/>
          <w:szCs w:val="30"/>
        </w:rPr>
        <w:t>意见和建议</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（一）坚持教育优先发展，继续加大教育投入。</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要坚定不移把教育工作摆在优先发展的战略地位，按照＂三个优先＂的要求，进一步贯彻落实国家、省、市有关教育经费投入政策，认真履行政府职责，落实教育经费相关政策，坚持教育经费向薄弱环节和关键领域倾斜，促进教育事业的快速发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（二）强化监督管理，提高经费使用效益。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一是经常开展</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的专项督查，提高经费使用效益。二是建立健全绩效评价考核机制。逐步建立起以强化资金使用效益为核心的教育经费投入和使用绩效评价体系，对</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教育投入使用情况进行动态监测、分析评价和综合考核，考核评价结果作为资金分配、工作考评和表彰奖励的重要依据。三是推进阳光财务。教育经费的安排使用，坚持科学配置，阳光操作，提升使用的公开透明度。四是确保专款专用。在使用管理中，制定专项资金管理办法，严禁截留、挤占、挪用专项资金。五是加快项目工程进度，重视质量监管，让资金尽快变为改善办学条件的社会效益。</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color w:val="0C0C0C" w:themeColor="text1" w:themeTint="F2"/>
          <w:sz w:val="30"/>
          <w:szCs w:val="30"/>
        </w:rPr>
      </w:pPr>
      <w:r>
        <w:rPr>
          <w:rFonts w:hint="eastAsia" w:eastAsia="仿宋" w:asciiTheme="minorAscii" w:hAnsiTheme="minorAscii"/>
          <w:b/>
          <w:bCs/>
          <w:color w:val="0C0C0C" w:themeColor="text1" w:themeTint="F2"/>
          <w:sz w:val="30"/>
          <w:szCs w:val="30"/>
        </w:rPr>
        <w:t>（三）加强财会队伍建设，提高财务管理能力。</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0C0C0C" w:themeColor="text1" w:themeTint="F2"/>
          <w:sz w:val="30"/>
          <w:szCs w:val="30"/>
        </w:rPr>
      </w:pPr>
      <w:r>
        <w:rPr>
          <w:rFonts w:hint="eastAsia" w:eastAsia="仿宋" w:asciiTheme="minorAscii" w:hAnsiTheme="minorAscii"/>
          <w:color w:val="0C0C0C" w:themeColor="text1" w:themeTint="F2"/>
          <w:sz w:val="30"/>
          <w:szCs w:val="30"/>
        </w:rPr>
        <w:t>一是增加</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财会人员编制，逐步消除过去会计人员无证上岗和有证不专的现象；二是加大财务人员的培训力度，提高业务水平，进一步规范</w:t>
      </w:r>
      <w:r>
        <w:rPr>
          <w:rFonts w:hint="eastAsia" w:eastAsia="仿宋" w:asciiTheme="minorAscii" w:hAnsiTheme="minorAscii"/>
          <w:color w:val="0C0C0C" w:themeColor="text1" w:themeTint="F2"/>
          <w:sz w:val="30"/>
          <w:szCs w:val="30"/>
          <w:lang w:eastAsia="zh-CN"/>
        </w:rPr>
        <w:t>幼儿园</w:t>
      </w:r>
      <w:r>
        <w:rPr>
          <w:rFonts w:hint="eastAsia" w:eastAsia="仿宋" w:asciiTheme="minorAscii" w:hAnsiTheme="minorAscii"/>
          <w:color w:val="0C0C0C" w:themeColor="text1" w:themeTint="F2"/>
          <w:sz w:val="30"/>
          <w:szCs w:val="30"/>
        </w:rPr>
        <w:t>资金的管理和使用操作程序，最大限度地发挥教育资金使用效率。</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color w:val="FF0000"/>
          <w:sz w:val="30"/>
          <w:szCs w:val="30"/>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hint="eastAsia" w:ascii="微软雅黑" w:hAnsi="微软雅黑" w:eastAsia="微软雅黑" w:cs="微软雅黑"/>
          <w:i w:val="0"/>
          <w:iCs w:val="0"/>
          <w:color w:val="000000"/>
          <w:kern w:val="0"/>
          <w:sz w:val="36"/>
          <w:szCs w:val="36"/>
          <w:u w:val="none"/>
          <w:lang w:val="en-US" w:eastAsia="zh-CN" w:bidi="ar"/>
        </w:rPr>
        <w:t>教育事业发展经费</w:t>
      </w:r>
      <w:r>
        <w:rPr>
          <w:rFonts w:eastAsia="方正小标宋_GBK"/>
          <w:color w:val="000000"/>
          <w:kern w:val="0"/>
          <w:sz w:val="36"/>
          <w:szCs w:val="36"/>
        </w:rPr>
        <w:t>项目支出绩效自评表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default" w:eastAsia="仿宋" w:asciiTheme="minorAscii" w:hAnsiTheme="minorAscii"/>
          <w:sz w:val="20"/>
          <w:szCs w:val="20"/>
        </w:rPr>
      </w:pPr>
    </w:p>
    <w:tbl>
      <w:tblPr>
        <w:tblStyle w:val="5"/>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1"/>
        <w:gridCol w:w="402"/>
        <w:gridCol w:w="978"/>
        <w:gridCol w:w="2244"/>
        <w:gridCol w:w="1494"/>
        <w:gridCol w:w="1038"/>
        <w:gridCol w:w="552"/>
        <w:gridCol w:w="816"/>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项目支出名称</w:t>
            </w:r>
          </w:p>
        </w:tc>
        <w:tc>
          <w:tcPr>
            <w:tcW w:w="8307" w:type="dxa"/>
            <w:gridSpan w:val="8"/>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教育事业发展经费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18"/>
                <w:szCs w:val="18"/>
                <w:u w:val="none"/>
              </w:rPr>
            </w:pPr>
          </w:p>
        </w:tc>
        <w:tc>
          <w:tcPr>
            <w:tcW w:w="8307" w:type="dxa"/>
            <w:gridSpan w:val="8"/>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4" w:hRule="atLeast"/>
          <w:jc w:val="center"/>
        </w:trPr>
        <w:tc>
          <w:tcPr>
            <w:tcW w:w="85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主管部门</w:t>
            </w:r>
          </w:p>
        </w:tc>
        <w:tc>
          <w:tcPr>
            <w:tcW w:w="5118" w:type="dxa"/>
            <w:gridSpan w:val="4"/>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实施单位</w:t>
            </w:r>
          </w:p>
        </w:tc>
        <w:tc>
          <w:tcPr>
            <w:tcW w:w="2151" w:type="dxa"/>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江永县上江圩镇中心幼儿园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8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项目资金(万元)</w:t>
            </w: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     资金来源</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年初预算数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全年预算数</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全年执行数</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执行率</w:t>
            </w: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其中:当年财政拨款</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上年结转金额</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2"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其它资金</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4"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138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年度资金总额</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100.00%</w:t>
            </w: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2" w:hRule="atLeast"/>
          <w:jc w:val="center"/>
        </w:trPr>
        <w:tc>
          <w:tcPr>
            <w:tcW w:w="8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年度总体目标</w:t>
            </w:r>
          </w:p>
        </w:tc>
        <w:tc>
          <w:tcPr>
            <w:tcW w:w="5118"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预期目标</w:t>
            </w:r>
          </w:p>
        </w:tc>
        <w:tc>
          <w:tcPr>
            <w:tcW w:w="3189"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4"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5118"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1.发放教师津贴补贴奖金福利费14.96万元，2.教职工伙食补助1.56万元，3.工会经费2.7万元，4.学生助学金2.6万元，4.办公费、电费及委托业务费5.3万元。</w:t>
            </w:r>
          </w:p>
        </w:tc>
        <w:tc>
          <w:tcPr>
            <w:tcW w:w="3189" w:type="dxa"/>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6" w:hRule="atLeast"/>
          <w:jc w:val="center"/>
        </w:trPr>
        <w:tc>
          <w:tcPr>
            <w:tcW w:w="85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绩效指标</w:t>
            </w:r>
          </w:p>
        </w:tc>
        <w:tc>
          <w:tcPr>
            <w:tcW w:w="40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一级指标</w:t>
            </w: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二级指标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三级指标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年度指标值</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实际完成值</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得分</w:t>
            </w:r>
          </w:p>
        </w:tc>
        <w:tc>
          <w:tcPr>
            <w:tcW w:w="7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b/>
                <w:bCs/>
                <w:i w:val="0"/>
                <w:iCs w:val="0"/>
                <w:color w:val="000000"/>
                <w:kern w:val="0"/>
                <w:sz w:val="18"/>
                <w:szCs w:val="18"/>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产出指标</w:t>
            </w:r>
          </w:p>
        </w:tc>
        <w:tc>
          <w:tcPr>
            <w:tcW w:w="978"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数量指标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津贴补贴奖金人数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伙食补助人数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工会经费人数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22人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助学金人数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66人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b/>
                <w:bCs/>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办公费、电费及委托业务费</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267人</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267人</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质量指标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津贴补贴奖金完成率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伙食补助完成率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 xml:space="preserve">100% </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工会经费完成率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6"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助学金准确率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6"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办公费、电费及委托业务费</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时效指标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完成时间</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效益指标</w:t>
            </w: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经济效益指标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提高教师生活水平</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社会效益指标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促进幼儿园教育教学工作全面发展</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生态效益指标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学生入学数量增长率</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可持续影响指标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可持续影响</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可持续</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满意度指标</w:t>
            </w: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服务对象满意度指标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受益群体满意度</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成本指标</w:t>
            </w: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经济成本指标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预算执行数</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27.12万元</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27.12万元</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社会成本指标</w:t>
            </w:r>
          </w:p>
        </w:tc>
        <w:tc>
          <w:tcPr>
            <w:tcW w:w="22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资金使用合规性</w:t>
            </w:r>
          </w:p>
        </w:tc>
        <w:tc>
          <w:tcPr>
            <w:tcW w:w="149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sz w:val="18"/>
                <w:szCs w:val="18"/>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103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51"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40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97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生态环境成本指标</w:t>
            </w:r>
          </w:p>
        </w:tc>
        <w:tc>
          <w:tcPr>
            <w:tcW w:w="224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rPr>
                <w:rFonts w:hint="eastAsia" w:ascii="微软雅黑" w:hAnsi="微软雅黑" w:eastAsia="微软雅黑" w:cs="微软雅黑"/>
                <w:i w:val="0"/>
                <w:iCs w:val="0"/>
                <w:color w:val="000000"/>
                <w:sz w:val="18"/>
                <w:szCs w:val="18"/>
                <w:u w:val="none"/>
              </w:rPr>
            </w:pPr>
          </w:p>
        </w:tc>
        <w:tc>
          <w:tcPr>
            <w:tcW w:w="149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sz w:val="18"/>
                <w:szCs w:val="18"/>
              </w:rPr>
            </w:pPr>
          </w:p>
        </w:tc>
        <w:tc>
          <w:tcPr>
            <w:tcW w:w="103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55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81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7007"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总分</w:t>
            </w:r>
          </w:p>
        </w:tc>
        <w:tc>
          <w:tcPr>
            <w:tcW w:w="5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100.00</w:t>
            </w:r>
          </w:p>
        </w:tc>
        <w:tc>
          <w:tcPr>
            <w:tcW w:w="78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微软雅黑" w:hAnsi="微软雅黑" w:eastAsia="微软雅黑" w:cs="微软雅黑"/>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上江圩镇中心幼儿园</w:t>
      </w:r>
      <w:r>
        <w:rPr>
          <w:rFonts w:ascii="黑体" w:hAnsi="黑体" w:eastAsia="黑体"/>
          <w:kern w:val="0"/>
          <w:sz w:val="32"/>
          <w:szCs w:val="32"/>
        </w:rPr>
        <w:t>专项（项目）资金绩效评价表</w:t>
      </w:r>
    </w:p>
    <w:tbl>
      <w:tblPr>
        <w:tblStyle w:val="5"/>
        <w:tblW w:w="9140" w:type="dxa"/>
        <w:jc w:val="center"/>
        <w:tblLayout w:type="fixed"/>
        <w:tblCellMar>
          <w:top w:w="0" w:type="dxa"/>
          <w:left w:w="108" w:type="dxa"/>
          <w:bottom w:w="0" w:type="dxa"/>
          <w:right w:w="108" w:type="dxa"/>
        </w:tblCellMar>
      </w:tblPr>
      <w:tblGrid>
        <w:gridCol w:w="630"/>
        <w:gridCol w:w="673"/>
        <w:gridCol w:w="959"/>
        <w:gridCol w:w="2458"/>
        <w:gridCol w:w="4062"/>
        <w:gridCol w:w="358"/>
      </w:tblGrid>
      <w:tr>
        <w:tblPrEx>
          <w:tblCellMar>
            <w:top w:w="0" w:type="dxa"/>
            <w:left w:w="108" w:type="dxa"/>
            <w:bottom w:w="0" w:type="dxa"/>
            <w:right w:w="108" w:type="dxa"/>
          </w:tblCellMar>
        </w:tblPrEx>
        <w:trPr>
          <w:jc w:val="center"/>
        </w:trPr>
        <w:tc>
          <w:tcPr>
            <w:tcW w:w="630" w:type="dxa"/>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一级</w:t>
            </w:r>
          </w:p>
        </w:tc>
        <w:tc>
          <w:tcPr>
            <w:tcW w:w="673" w:type="dxa"/>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二级</w:t>
            </w:r>
          </w:p>
        </w:tc>
        <w:tc>
          <w:tcPr>
            <w:tcW w:w="959"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三级指标</w:t>
            </w:r>
          </w:p>
        </w:tc>
        <w:tc>
          <w:tcPr>
            <w:tcW w:w="2458"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指标解释</w:t>
            </w:r>
          </w:p>
        </w:tc>
        <w:tc>
          <w:tcPr>
            <w:tcW w:w="4062"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指标说明</w:t>
            </w:r>
          </w:p>
        </w:tc>
        <w:tc>
          <w:tcPr>
            <w:tcW w:w="358" w:type="dxa"/>
            <w:vMerge w:val="restart"/>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452" w:hRule="atLeast"/>
          <w:jc w:val="center"/>
        </w:trPr>
        <w:tc>
          <w:tcPr>
            <w:tcW w:w="63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6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959"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2458"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4062"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358" w:type="dxa"/>
            <w:vMerge w:val="continue"/>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投入</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宋体" w:hAnsi="宋体"/>
                <w:color w:val="000000"/>
                <w:kern w:val="0"/>
                <w:sz w:val="24"/>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（12分）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项目立项规范性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4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绩效目标合理性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6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绩效指标明确性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trHeight w:val="67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资金落实</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780"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eastAsia="宋体"/>
                <w:color w:val="000000"/>
                <w:kern w:val="0"/>
                <w:sz w:val="24"/>
                <w:lang w:eastAsia="zh-CN"/>
              </w:rPr>
            </w:pPr>
            <w:r>
              <w:rPr>
                <w:rFonts w:hint="eastAsia" w:ascii="宋体" w:hAnsi="宋体"/>
                <w:color w:val="000000"/>
                <w:kern w:val="0"/>
                <w:sz w:val="24"/>
                <w:lang w:val="en-US" w:eastAsia="zh-CN"/>
              </w:rPr>
              <w:t>4</w:t>
            </w:r>
          </w:p>
        </w:tc>
      </w:tr>
      <w:tr>
        <w:tblPrEx>
          <w:tblCellMar>
            <w:top w:w="0" w:type="dxa"/>
            <w:left w:w="108" w:type="dxa"/>
            <w:bottom w:w="0" w:type="dxa"/>
            <w:right w:w="108" w:type="dxa"/>
          </w:tblCellMar>
        </w:tblPrEx>
        <w:trPr>
          <w:trHeight w:val="86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过程</w:t>
            </w:r>
          </w:p>
          <w:p>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业务管理</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（10分）</w:t>
            </w:r>
          </w:p>
          <w:p>
            <w:pPr>
              <w:keepNext w:val="0"/>
              <w:keepLines w:val="0"/>
              <w:pageBreakBefore w:val="0"/>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制度执行有效性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900"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项目质量可控性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896"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财务管理</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（5分）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资金使用合规性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财务监控有效性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824"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产出</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项目产出</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82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完成及时率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质量达标率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00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成本节约率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567"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效果</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经济效益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062"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04"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社会效益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生态效益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59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90" w:hRule="atLeast"/>
          <w:jc w:val="center"/>
        </w:trPr>
        <w:tc>
          <w:tcPr>
            <w:tcW w:w="63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90" w:hRule="atLeast"/>
          <w:jc w:val="center"/>
        </w:trPr>
        <w:tc>
          <w:tcPr>
            <w:tcW w:w="1303"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7837"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kinsoku/>
        <w:wordWrap/>
        <w:overflowPunct/>
        <w:topLinePunct w:val="0"/>
        <w:autoSpaceDE/>
        <w:autoSpaceDN/>
        <w:bidi w:val="0"/>
        <w:adjustRightInd/>
        <w:snapToGrid/>
        <w:spacing w:line="240" w:lineRule="atLeast"/>
        <w:ind w:left="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33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Y5Y2YzMzQ3MTkzZDE4MTdjMmNkZWU4OGIwMjE5MjIifQ=="/>
  </w:docVars>
  <w:rsids>
    <w:rsidRoot w:val="26F76658"/>
    <w:rsid w:val="000927A2"/>
    <w:rsid w:val="001148A4"/>
    <w:rsid w:val="003B1EB4"/>
    <w:rsid w:val="00EB3CD1"/>
    <w:rsid w:val="01086C64"/>
    <w:rsid w:val="018450A2"/>
    <w:rsid w:val="01D42B6D"/>
    <w:rsid w:val="065A4606"/>
    <w:rsid w:val="0CD36378"/>
    <w:rsid w:val="0F4306BA"/>
    <w:rsid w:val="0FCB77DB"/>
    <w:rsid w:val="10D16F18"/>
    <w:rsid w:val="117C7EE7"/>
    <w:rsid w:val="13EC5F71"/>
    <w:rsid w:val="144E4536"/>
    <w:rsid w:val="15363368"/>
    <w:rsid w:val="19143FA0"/>
    <w:rsid w:val="19E255FA"/>
    <w:rsid w:val="1C200EAE"/>
    <w:rsid w:val="1D7B31AC"/>
    <w:rsid w:val="1DA21E5C"/>
    <w:rsid w:val="1E197963"/>
    <w:rsid w:val="1E675979"/>
    <w:rsid w:val="1FD152C6"/>
    <w:rsid w:val="20254CE5"/>
    <w:rsid w:val="209F553A"/>
    <w:rsid w:val="22B83BEE"/>
    <w:rsid w:val="25772795"/>
    <w:rsid w:val="25F46FCE"/>
    <w:rsid w:val="26247A03"/>
    <w:rsid w:val="26F76658"/>
    <w:rsid w:val="29032A64"/>
    <w:rsid w:val="29EA2C0B"/>
    <w:rsid w:val="2A4036ED"/>
    <w:rsid w:val="2D5E5203"/>
    <w:rsid w:val="31E139C2"/>
    <w:rsid w:val="3579545F"/>
    <w:rsid w:val="38EE0F44"/>
    <w:rsid w:val="3AC86541"/>
    <w:rsid w:val="3B2B02C4"/>
    <w:rsid w:val="3D23109A"/>
    <w:rsid w:val="3D3330CD"/>
    <w:rsid w:val="3FC27A03"/>
    <w:rsid w:val="41C061C4"/>
    <w:rsid w:val="41EC125B"/>
    <w:rsid w:val="42290E73"/>
    <w:rsid w:val="43A0005B"/>
    <w:rsid w:val="43B4782A"/>
    <w:rsid w:val="43FC219C"/>
    <w:rsid w:val="448A696E"/>
    <w:rsid w:val="457F1EF2"/>
    <w:rsid w:val="479848A9"/>
    <w:rsid w:val="49CA5E32"/>
    <w:rsid w:val="4B3544BD"/>
    <w:rsid w:val="4B8F7333"/>
    <w:rsid w:val="4FD7252C"/>
    <w:rsid w:val="4FFC6154"/>
    <w:rsid w:val="50454464"/>
    <w:rsid w:val="50732BBE"/>
    <w:rsid w:val="52481FEA"/>
    <w:rsid w:val="52FC40CD"/>
    <w:rsid w:val="53C9715A"/>
    <w:rsid w:val="54680721"/>
    <w:rsid w:val="551B39E5"/>
    <w:rsid w:val="558B6EAE"/>
    <w:rsid w:val="591542C8"/>
    <w:rsid w:val="59570D64"/>
    <w:rsid w:val="5C415BB9"/>
    <w:rsid w:val="5EF13A09"/>
    <w:rsid w:val="5F814D8D"/>
    <w:rsid w:val="6051475F"/>
    <w:rsid w:val="612C534F"/>
    <w:rsid w:val="63DB5E63"/>
    <w:rsid w:val="64D67929"/>
    <w:rsid w:val="65752C9E"/>
    <w:rsid w:val="672F3320"/>
    <w:rsid w:val="67FF6697"/>
    <w:rsid w:val="68A92037"/>
    <w:rsid w:val="695E7EED"/>
    <w:rsid w:val="6A275A32"/>
    <w:rsid w:val="6AFF0859"/>
    <w:rsid w:val="6D995997"/>
    <w:rsid w:val="6F5B1156"/>
    <w:rsid w:val="710A62E9"/>
    <w:rsid w:val="71EF202A"/>
    <w:rsid w:val="754C049D"/>
    <w:rsid w:val="77106CCA"/>
    <w:rsid w:val="77470212"/>
    <w:rsid w:val="774E77F3"/>
    <w:rsid w:val="78F67E30"/>
    <w:rsid w:val="7A3D6C8D"/>
    <w:rsid w:val="7A996FD7"/>
    <w:rsid w:val="7ACA22EC"/>
    <w:rsid w:val="7CB43C54"/>
    <w:rsid w:val="7F6E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p17"/>
    <w:basedOn w:val="1"/>
    <w:qFormat/>
    <w:uiPriority w:val="0"/>
    <w:pPr>
      <w:widowControl/>
    </w:pPr>
    <w:rPr>
      <w:kern w:val="0"/>
      <w:szCs w:val="21"/>
    </w:rPr>
  </w:style>
  <w:style w:type="paragraph" w:styleId="8">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2857</Words>
  <Characters>16288</Characters>
  <Lines>135</Lines>
  <Paragraphs>38</Paragraphs>
  <TotalTime>11</TotalTime>
  <ScaleCrop>false</ScaleCrop>
  <LinksUpToDate>false</LinksUpToDate>
  <CharactersWithSpaces>19107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2024-05-07T03:13:00Z</dcterms:created>
  <dc:creator>___怎扰</dc:creator>
  <cp:lastModifiedBy>Administrator</cp:lastModifiedBy>
  <dcterms:modified xsi:type="dcterms:W3CDTF">2024-12-25T02:25:43Z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7B6877562CB14D5A8721037A221F0FDA_11</vt:lpwstr>
  </property>
</Properties>
</file>